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bookmarkStart w:id="0" w:name="_GoBack"/>
      <w:bookmarkEnd w:id="0"/>
      <w:r w:rsidRPr="004C7650">
        <w:rPr>
          <w:rFonts w:ascii="Times New Roman" w:hAnsi="Times New Roman" w:cs="Times New Roman"/>
          <w:sz w:val="24"/>
          <w:szCs w:val="24"/>
          <w:lang w:val="es-PR"/>
        </w:rPr>
        <w:t>Escuela de Estudios Profesionales</w:t>
      </w: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Programa Ahora</w:t>
      </w: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Universidad del Turabo en Yabucoa</w:t>
      </w: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b/>
          <w:sz w:val="24"/>
          <w:szCs w:val="24"/>
          <w:lang w:val="es-PR"/>
        </w:rPr>
        <w:t>Taller 3</w:t>
      </w:r>
    </w:p>
    <w:p w:rsidR="005F4278" w:rsidRPr="006735C7" w:rsidRDefault="005F4278" w:rsidP="005F4278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  <w:r w:rsidRPr="006735C7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Tipos de avaluó y la tecnología</w:t>
      </w: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Odalys Gómez Millán</w:t>
      </w:r>
    </w:p>
    <w:p w:rsidR="005F4278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05 de febrero de 2015</w:t>
      </w:r>
    </w:p>
    <w:p w:rsidR="00553226" w:rsidRPr="004C7650" w:rsidRDefault="005F4278" w:rsidP="005F4278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Profesora: Guillermina Viuret</w:t>
      </w:r>
    </w:p>
    <w:p w:rsidR="00553226" w:rsidRPr="004C7650" w:rsidRDefault="00553226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250331" w:rsidRPr="006735C7" w:rsidRDefault="00553226" w:rsidP="00673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6735C7">
        <w:rPr>
          <w:rFonts w:ascii="Times New Roman" w:hAnsi="Times New Roman" w:cs="Times New Roman"/>
          <w:b/>
          <w:sz w:val="24"/>
          <w:szCs w:val="24"/>
          <w:lang w:val="es-PR"/>
        </w:rPr>
        <w:lastRenderedPageBreak/>
        <w:t xml:space="preserve">Objetivo: </w:t>
      </w:r>
    </w:p>
    <w:p w:rsidR="00553226" w:rsidRPr="004C7650" w:rsidRDefault="00553226" w:rsidP="00456D3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Al culminar este adiestramiento el empleado podrá explicar las funciones de los ingredientes activos y excipientes dentro de una formulación efectiva de tabletas.</w:t>
      </w:r>
    </w:p>
    <w:p w:rsidR="000D4A89" w:rsidRPr="004C7650" w:rsidRDefault="000D4A89" w:rsidP="00456D3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553226" w:rsidRPr="006735C7" w:rsidRDefault="002336CF" w:rsidP="00673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6735C7">
        <w:rPr>
          <w:rFonts w:ascii="Times New Roman" w:hAnsi="Times New Roman" w:cs="Times New Roman"/>
          <w:b/>
          <w:sz w:val="24"/>
          <w:szCs w:val="24"/>
          <w:lang w:val="es-PR"/>
        </w:rPr>
        <w:t>Actividad de Avaluó</w:t>
      </w:r>
      <w:r w:rsidR="00964A5D" w:rsidRPr="006735C7">
        <w:rPr>
          <w:rFonts w:ascii="Times New Roman" w:hAnsi="Times New Roman" w:cs="Times New Roman"/>
          <w:b/>
          <w:sz w:val="24"/>
          <w:szCs w:val="24"/>
          <w:lang w:val="es-PR"/>
        </w:rPr>
        <w:t xml:space="preserve"> y Descripción de la Técnica</w:t>
      </w:r>
      <w:r w:rsidRPr="006735C7">
        <w:rPr>
          <w:rFonts w:ascii="Times New Roman" w:hAnsi="Times New Roman" w:cs="Times New Roman"/>
          <w:b/>
          <w:sz w:val="24"/>
          <w:szCs w:val="24"/>
          <w:lang w:val="es-PR"/>
        </w:rPr>
        <w:t>:</w:t>
      </w:r>
    </w:p>
    <w:p w:rsidR="00692A7E" w:rsidRPr="004C7650" w:rsidRDefault="002336CF" w:rsidP="00456D3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Como actividad de </w:t>
      </w:r>
      <w:r w:rsidR="00CC1D27" w:rsidRPr="004C7650">
        <w:rPr>
          <w:rFonts w:ascii="Times New Roman" w:hAnsi="Times New Roman" w:cs="Times New Roman"/>
          <w:sz w:val="24"/>
          <w:szCs w:val="24"/>
          <w:lang w:val="es-PR"/>
        </w:rPr>
        <w:t>avaluó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para </w:t>
      </w:r>
      <w:r w:rsidR="00692A7E"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recopilar información útil y a tiempo para conocer cómo se </w:t>
      </w:r>
      <w:r w:rsidR="00E61A57">
        <w:rPr>
          <w:rFonts w:ascii="Times New Roman" w:hAnsi="Times New Roman" w:cs="Times New Roman"/>
          <w:sz w:val="24"/>
          <w:szCs w:val="24"/>
          <w:lang w:val="es-PR"/>
        </w:rPr>
        <w:t>está dando el proceso enseñanza-</w:t>
      </w:r>
      <w:r w:rsidR="00692A7E" w:rsidRPr="004C7650">
        <w:rPr>
          <w:rFonts w:ascii="Times New Roman" w:hAnsi="Times New Roman" w:cs="Times New Roman"/>
          <w:sz w:val="24"/>
          <w:szCs w:val="24"/>
          <w:lang w:val="es-PR"/>
        </w:rPr>
        <w:t>aprendizaje y si el empleado está adquiriendo los conocimientos requeridos conforme a los objetivos del cursos se usara la Reacción Escrita Inmediata. La información recopilada me ayudara a validar si estoy siendo efectiva con el adiestramiento que estoy ofreciendo.</w:t>
      </w:r>
    </w:p>
    <w:p w:rsidR="00692A7E" w:rsidRPr="004C7650" w:rsidRDefault="00E61A57" w:rsidP="00456D3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El </w:t>
      </w:r>
      <w:r w:rsidR="00692A7E"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avaluó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se ofrecerá al estudiante por medio de la Plataforma </w:t>
      </w:r>
      <w:r w:rsidRPr="009863EF">
        <w:rPr>
          <w:rFonts w:ascii="Times New Roman" w:hAnsi="Times New Roman" w:cs="Times New Roman"/>
          <w:b/>
          <w:i/>
          <w:sz w:val="24"/>
          <w:szCs w:val="24"/>
          <w:lang w:val="es-PR"/>
        </w:rPr>
        <w:t>Schoology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. </w:t>
      </w:r>
      <w:r w:rsidRPr="009863EF">
        <w:rPr>
          <w:rFonts w:ascii="Times New Roman" w:hAnsi="Times New Roman" w:cs="Times New Roman"/>
          <w:sz w:val="24"/>
          <w:szCs w:val="24"/>
          <w:lang w:val="es-PR"/>
        </w:rPr>
        <w:t>E</w:t>
      </w:r>
      <w:r w:rsidR="009863EF">
        <w:rPr>
          <w:rFonts w:ascii="Times New Roman" w:hAnsi="Times New Roman" w:cs="Times New Roman"/>
          <w:sz w:val="24"/>
          <w:szCs w:val="24"/>
          <w:lang w:val="es-PR"/>
        </w:rPr>
        <w:t>l estudiante accede</w:t>
      </w:r>
      <w:r w:rsidRPr="009863EF">
        <w:rPr>
          <w:rFonts w:ascii="Times New Roman" w:hAnsi="Times New Roman" w:cs="Times New Roman"/>
          <w:sz w:val="24"/>
          <w:szCs w:val="24"/>
          <w:lang w:val="es-PR"/>
        </w:rPr>
        <w:t xml:space="preserve"> a la plataforma y completa el avaluó.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  </w:t>
      </w:r>
      <w:r w:rsidRPr="00E61A57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692A7E"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El completar la Reacción Escrita Inmediata será un requisito para completar el curso en línea. </w:t>
      </w:r>
    </w:p>
    <w:p w:rsidR="00456D32" w:rsidRPr="004C7650" w:rsidRDefault="00456D32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692A7E" w:rsidRPr="004C7650" w:rsidRDefault="00692A7E" w:rsidP="00456D3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El </w:t>
      </w:r>
      <w:r w:rsidRPr="004C7650">
        <w:rPr>
          <w:rFonts w:ascii="Times New Roman" w:hAnsi="Times New Roman" w:cs="Times New Roman"/>
          <w:i/>
          <w:sz w:val="24"/>
          <w:szCs w:val="24"/>
          <w:lang w:val="es-PR"/>
        </w:rPr>
        <w:t>Template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usado para la Hoja de Reacción Escrita Inmediata es la siguiente: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566"/>
      </w:tblGrid>
      <w:tr w:rsidR="00E668D9" w:rsidRPr="004C7650" w:rsidTr="00E223F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Nombre:</w:t>
            </w:r>
          </w:p>
        </w:tc>
        <w:tc>
          <w:tcPr>
            <w:tcW w:w="4566" w:type="dxa"/>
            <w:tcBorders>
              <w:top w:val="nil"/>
              <w:left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4C7650" w:rsidTr="00E223F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Fecha</w:t>
            </w:r>
          </w:p>
        </w:tc>
        <w:tc>
          <w:tcPr>
            <w:tcW w:w="4566" w:type="dxa"/>
            <w:tcBorders>
              <w:left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4C7650" w:rsidTr="00E223F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Código del Curso:</w:t>
            </w:r>
          </w:p>
        </w:tc>
        <w:tc>
          <w:tcPr>
            <w:tcW w:w="4566" w:type="dxa"/>
            <w:tcBorders>
              <w:left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FIAYE-500</w:t>
            </w:r>
          </w:p>
        </w:tc>
      </w:tr>
      <w:tr w:rsidR="00E668D9" w:rsidRPr="00E61A57" w:rsidTr="00E223F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Título del Curso:</w:t>
            </w:r>
          </w:p>
        </w:tc>
        <w:tc>
          <w:tcPr>
            <w:tcW w:w="4566" w:type="dxa"/>
            <w:tcBorders>
              <w:left w:val="nil"/>
              <w:right w:val="nil"/>
            </w:tcBorders>
          </w:tcPr>
          <w:p w:rsidR="00E668D9" w:rsidRPr="004C7650" w:rsidRDefault="00E668D9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Funciones de ingredientes activos y excipientes para una formulación efectiva.</w:t>
            </w:r>
          </w:p>
        </w:tc>
      </w:tr>
    </w:tbl>
    <w:p w:rsidR="00E668D9" w:rsidRPr="004C7650" w:rsidRDefault="00E668D9" w:rsidP="00E668D9">
      <w:pPr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A5A53" w:rsidRPr="00E61A57" w:rsidTr="005A5A53">
        <w:tc>
          <w:tcPr>
            <w:tcW w:w="9576" w:type="dxa"/>
          </w:tcPr>
          <w:p w:rsidR="005A5A53" w:rsidRPr="004C7650" w:rsidRDefault="005A5A53" w:rsidP="00E668D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PR"/>
              </w:rPr>
              <w:t>Instrucciones:</w:t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</w:t>
            </w:r>
            <w:r w:rsidR="00F447D1"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EA4599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Conteste las </w:t>
            </w:r>
            <w:r w:rsidRPr="004C7650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preguntas</w:t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. Una vez completadas sométalas vía </w:t>
            </w:r>
            <w:r w:rsidR="00F447D1"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correo</w:t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electrónico al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instructor del curso para ofrecerle retroalimentación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conforme a los objetivos del curso.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Estas tienen que ser enviadas antes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de realizar la evaluación sumativa del adiestramiento. </w:t>
            </w:r>
          </w:p>
        </w:tc>
      </w:tr>
    </w:tbl>
    <w:p w:rsidR="005A5A53" w:rsidRPr="004C7650" w:rsidRDefault="005A5A53" w:rsidP="00E668D9">
      <w:pPr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Pregunta 1</w:t>
            </w:r>
            <w:r w:rsidR="00391136" w:rsidRPr="004C7650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.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Explique el significado de ingrediente activo.</w:t>
            </w:r>
          </w:p>
        </w:tc>
      </w:tr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91136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391136" w:rsidRPr="004C7650" w:rsidRDefault="00391136" w:rsidP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1136" w:rsidRPr="004C7650" w:rsidRDefault="00391136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 w:rsidP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51659D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1659D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Pregunta 2</w:t>
            </w:r>
            <w:r w:rsidR="00391136" w:rsidRPr="0051659D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.</w:t>
            </w:r>
          </w:p>
        </w:tc>
        <w:tc>
          <w:tcPr>
            <w:tcW w:w="8118" w:type="dxa"/>
            <w:tcBorders>
              <w:top w:val="nil"/>
              <w:left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Explique el significado de excipientes.</w:t>
            </w:r>
          </w:p>
        </w:tc>
      </w:tr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51659D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8118" w:type="dxa"/>
            <w:tcBorders>
              <w:left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51659D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8118" w:type="dxa"/>
            <w:tcBorders>
              <w:left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E61A57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51659D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8118" w:type="dxa"/>
            <w:tcBorders>
              <w:left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668D9" w:rsidRPr="004C7650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51659D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1659D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Pregunta 3</w:t>
            </w:r>
            <w:r w:rsidR="00391136" w:rsidRPr="0051659D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.</w:t>
            </w:r>
          </w:p>
        </w:tc>
        <w:tc>
          <w:tcPr>
            <w:tcW w:w="8118" w:type="dxa"/>
            <w:tcBorders>
              <w:left w:val="nil"/>
              <w:right w:val="nil"/>
            </w:tcBorders>
          </w:tcPr>
          <w:p w:rsidR="00E668D9" w:rsidRPr="0051659D" w:rsidRDefault="00E668D9" w:rsidP="000744DB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¿Qué es una formulación?</w:t>
            </w:r>
          </w:p>
        </w:tc>
      </w:tr>
      <w:tr w:rsidR="00E668D9" w:rsidRPr="004C7650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left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D9" w:rsidRPr="004C7650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left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D9" w:rsidRPr="004C7650" w:rsidTr="005165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E668D9" w:rsidRPr="004C7650" w:rsidRDefault="00E6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8" w:type="dxa"/>
            <w:tcBorders>
              <w:left w:val="nil"/>
              <w:right w:val="nil"/>
            </w:tcBorders>
          </w:tcPr>
          <w:p w:rsidR="00E668D9" w:rsidRPr="004C7650" w:rsidRDefault="00E668D9" w:rsidP="00074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6CF" w:rsidRPr="004C7650" w:rsidRDefault="002336CF" w:rsidP="00E668D9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b/>
          <w:sz w:val="24"/>
          <w:szCs w:val="24"/>
          <w:lang w:val="es-PR"/>
        </w:rPr>
        <w:tab/>
      </w:r>
    </w:p>
    <w:p w:rsidR="002336CF" w:rsidRPr="004C7650" w:rsidRDefault="002336CF" w:rsidP="002336CF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0D4A89" w:rsidRPr="006735C7" w:rsidRDefault="00964A5D" w:rsidP="00673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6735C7">
        <w:rPr>
          <w:rFonts w:ascii="Times New Roman" w:hAnsi="Times New Roman" w:cs="Times New Roman"/>
          <w:b/>
          <w:sz w:val="24"/>
          <w:szCs w:val="24"/>
          <w:lang w:val="es-PR"/>
        </w:rPr>
        <w:t>Evaluación Sumativa (Examen)</w:t>
      </w:r>
    </w:p>
    <w:p w:rsidR="00964A5D" w:rsidRPr="004C7650" w:rsidRDefault="00964A5D" w:rsidP="00456D3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El estudiante realizara un examen que constara de preguntas rela</w:t>
      </w:r>
      <w:r w:rsidR="00A95E4F">
        <w:rPr>
          <w:rFonts w:ascii="Times New Roman" w:hAnsi="Times New Roman" w:cs="Times New Roman"/>
          <w:sz w:val="24"/>
          <w:szCs w:val="24"/>
          <w:lang w:val="es-PR"/>
        </w:rPr>
        <w:t xml:space="preserve">cionadas al contenido del 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curso en línea que acaba de completar el empleado. El examen será un cierto y falso. El empleado accederá el examen entrando a la plataforma de </w:t>
      </w:r>
      <w:r w:rsidRPr="004C7650">
        <w:rPr>
          <w:rFonts w:ascii="Times New Roman" w:hAnsi="Times New Roman" w:cs="Times New Roman"/>
          <w:i/>
          <w:sz w:val="24"/>
          <w:szCs w:val="24"/>
          <w:lang w:val="es-PR"/>
        </w:rPr>
        <w:t>Schoology d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>onde será contestado. Cada cierto y falso tendrá una puntuación de 3 puntos para un valor total del examen de 15 puntos. Para aprobar el examen el empleado tiene que obtener una puntuación mínima de un 85%.</w:t>
      </w:r>
    </w:p>
    <w:p w:rsidR="00F44BAD" w:rsidRPr="004C7650" w:rsidRDefault="00F44BAD" w:rsidP="002336CF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F44BAD" w:rsidRPr="004C7650" w:rsidRDefault="00F44BAD" w:rsidP="00F44BAD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El </w:t>
      </w:r>
      <w:r w:rsidRPr="004C7650">
        <w:rPr>
          <w:rFonts w:ascii="Times New Roman" w:hAnsi="Times New Roman" w:cs="Times New Roman"/>
          <w:i/>
          <w:sz w:val="24"/>
          <w:szCs w:val="24"/>
          <w:lang w:val="es-PR"/>
        </w:rPr>
        <w:t>Template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usado para el examen es el siguiente: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566"/>
      </w:tblGrid>
      <w:tr w:rsidR="00F44BAD" w:rsidRPr="004C7650" w:rsidTr="009D6631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Nombre:</w:t>
            </w:r>
          </w:p>
        </w:tc>
        <w:tc>
          <w:tcPr>
            <w:tcW w:w="4566" w:type="dxa"/>
            <w:tcBorders>
              <w:top w:val="nil"/>
              <w:left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44BAD" w:rsidRPr="004C7650" w:rsidTr="009D6631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Fecha</w:t>
            </w:r>
          </w:p>
        </w:tc>
        <w:tc>
          <w:tcPr>
            <w:tcW w:w="4566" w:type="dxa"/>
            <w:tcBorders>
              <w:left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F44BAD" w:rsidRPr="004C7650" w:rsidTr="009D6631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Código del Curso:</w:t>
            </w:r>
          </w:p>
        </w:tc>
        <w:tc>
          <w:tcPr>
            <w:tcW w:w="4566" w:type="dxa"/>
            <w:tcBorders>
              <w:left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FIAYE-500</w:t>
            </w:r>
          </w:p>
        </w:tc>
      </w:tr>
      <w:tr w:rsidR="00F44BAD" w:rsidRPr="00E61A57" w:rsidTr="009D6631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Título del Curso:</w:t>
            </w:r>
          </w:p>
        </w:tc>
        <w:tc>
          <w:tcPr>
            <w:tcW w:w="4566" w:type="dxa"/>
            <w:tcBorders>
              <w:left w:val="nil"/>
              <w:right w:val="nil"/>
            </w:tcBorders>
          </w:tcPr>
          <w:p w:rsidR="00F44BAD" w:rsidRPr="004C7650" w:rsidRDefault="00F44BAD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Funciones de ingredientes activos y excipientes para una formulación efectiva.</w:t>
            </w:r>
          </w:p>
        </w:tc>
      </w:tr>
    </w:tbl>
    <w:p w:rsidR="00F44BAD" w:rsidRPr="004C7650" w:rsidRDefault="00F44BAD" w:rsidP="00F44BAD">
      <w:pPr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4BAD" w:rsidRPr="00E61A57" w:rsidTr="009D6631">
        <w:tc>
          <w:tcPr>
            <w:tcW w:w="9576" w:type="dxa"/>
          </w:tcPr>
          <w:p w:rsidR="00F44BAD" w:rsidRPr="004C7650" w:rsidRDefault="00F44BAD" w:rsidP="00FA1C3E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PR"/>
              </w:rPr>
              <w:t>Instrucciones:</w:t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 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Complete cada una de las premisas del examen indicando si la aseveración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es </w:t>
            </w:r>
            <w:r w:rsidR="008A3543" w:rsidRPr="004C7650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>cierta</w:t>
            </w:r>
            <w:r w:rsidRPr="004C7650">
              <w:rPr>
                <w:rFonts w:ascii="Times New Roman" w:hAnsi="Times New Roman" w:cs="Times New Roman"/>
                <w:b/>
                <w:sz w:val="24"/>
                <w:szCs w:val="24"/>
                <w:lang w:val="es-PR"/>
              </w:rPr>
              <w:t xml:space="preserve"> o falsa</w:t>
            </w: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. </w:t>
            </w:r>
            <w:r w:rsidR="00B2708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Para aprobar</w:t>
            </w:r>
            <w:r w:rsidR="008A3543"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el examen se requiere que el empleado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8A3543"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obtenga una puntuación mínima de un 85%. Este examen tiene dos horas </w:t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51659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8A3543"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para ser completado y posee un solo intento para ser </w:t>
            </w:r>
            <w:r w:rsidR="00FA1C3E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FA1C3E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FA1C3E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FA1C3E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FA1C3E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FA1C3E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ab/>
            </w:r>
            <w:r w:rsidR="008A3543"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contestado. </w:t>
            </w:r>
          </w:p>
        </w:tc>
      </w:tr>
    </w:tbl>
    <w:p w:rsidR="00F44BAD" w:rsidRPr="004C7650" w:rsidRDefault="00F44BAD" w:rsidP="002336CF">
      <w:pPr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39"/>
        <w:gridCol w:w="236"/>
        <w:gridCol w:w="396"/>
        <w:gridCol w:w="8477"/>
      </w:tblGrid>
      <w:tr w:rsidR="001E3BBA" w:rsidRPr="00E61A57" w:rsidTr="005C7F37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E3BBA" w:rsidRPr="004C7650" w:rsidRDefault="001E3BBA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51659D" w:rsidRDefault="001E3BBA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C2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5C7F37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Los excipientes pueden o no ser incluidos como parte de una formulación.</w:t>
            </w:r>
          </w:p>
        </w:tc>
      </w:tr>
      <w:tr w:rsidR="001E3BBA" w:rsidRPr="00E61A57" w:rsidTr="005C7F37">
        <w:tc>
          <w:tcPr>
            <w:tcW w:w="540" w:type="dxa"/>
            <w:tcBorders>
              <w:left w:val="nil"/>
              <w:right w:val="nil"/>
            </w:tcBorders>
          </w:tcPr>
          <w:p w:rsidR="001E3BBA" w:rsidRPr="004C7650" w:rsidRDefault="001E3BBA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C2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ingrediente active carece de actividad farmacológica.</w:t>
            </w:r>
          </w:p>
        </w:tc>
      </w:tr>
      <w:tr w:rsidR="001E3BBA" w:rsidRPr="00E61A57" w:rsidTr="005C7F37">
        <w:tc>
          <w:tcPr>
            <w:tcW w:w="540" w:type="dxa"/>
            <w:tcBorders>
              <w:left w:val="nil"/>
              <w:right w:val="nil"/>
            </w:tcBorders>
          </w:tcPr>
          <w:p w:rsidR="001E3BBA" w:rsidRPr="004C7650" w:rsidRDefault="001E3BBA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C2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5C7F37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 formulación del producto se realiza mezclando diversos materiales, entre las cuales se distinguen los materiales conocidos como ingredientes activos y excipientes.</w:t>
            </w:r>
          </w:p>
        </w:tc>
      </w:tr>
      <w:tr w:rsidR="001E3BBA" w:rsidRPr="00E61A57" w:rsidTr="005C7F37">
        <w:tc>
          <w:tcPr>
            <w:tcW w:w="540" w:type="dxa"/>
            <w:tcBorders>
              <w:left w:val="nil"/>
              <w:right w:val="nil"/>
            </w:tcBorders>
          </w:tcPr>
          <w:p w:rsidR="001E3BBA" w:rsidRPr="004C7650" w:rsidRDefault="001E3BBA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C2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5C7F37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Tableta se define como un material de forma moldeada, comprimida en su forma final.</w:t>
            </w:r>
          </w:p>
        </w:tc>
      </w:tr>
      <w:tr w:rsidR="001E3BBA" w:rsidRPr="00E61A57" w:rsidTr="005C7F37">
        <w:tc>
          <w:tcPr>
            <w:tcW w:w="540" w:type="dxa"/>
            <w:tcBorders>
              <w:left w:val="nil"/>
              <w:right w:val="nil"/>
            </w:tcBorders>
          </w:tcPr>
          <w:p w:rsidR="001E3BBA" w:rsidRPr="004C7650" w:rsidRDefault="001E3BBA" w:rsidP="002336CF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1E3BBA" w:rsidP="00C2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1E3BBA" w:rsidRPr="004C7650" w:rsidRDefault="005C7F37" w:rsidP="001E3BB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Las especificaciones de la formulación pueden ser modificadas en cualquier momento.</w:t>
            </w:r>
          </w:p>
        </w:tc>
      </w:tr>
    </w:tbl>
    <w:p w:rsidR="000D4A89" w:rsidRPr="004C7650" w:rsidRDefault="000D4A89" w:rsidP="002336CF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0D4A89" w:rsidRPr="004C7650" w:rsidRDefault="005C7F37" w:rsidP="002336CF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Clave: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40"/>
        <w:gridCol w:w="236"/>
        <w:gridCol w:w="396"/>
        <w:gridCol w:w="8476"/>
      </w:tblGrid>
      <w:tr w:rsidR="005C7F37" w:rsidRPr="00E61A57" w:rsidTr="009D6631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Los excipientes pueden o no ser incluidos como parte de una formulación.</w:t>
            </w:r>
          </w:p>
        </w:tc>
      </w:tr>
      <w:tr w:rsidR="005C7F37" w:rsidRPr="00E61A57" w:rsidTr="009D6631">
        <w:tc>
          <w:tcPr>
            <w:tcW w:w="540" w:type="dxa"/>
            <w:tcBorders>
              <w:left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 ingrediente active carece de actividad farmacológica.</w:t>
            </w:r>
          </w:p>
        </w:tc>
      </w:tr>
      <w:tr w:rsidR="005C7F37" w:rsidRPr="00E61A57" w:rsidTr="009D6631">
        <w:tc>
          <w:tcPr>
            <w:tcW w:w="540" w:type="dxa"/>
            <w:tcBorders>
              <w:left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 formulación del producto se realiza mezclando diversos materiales, entre las cuales se distinguen los materiales conocidos como ingredientes activos y excipientes.</w:t>
            </w:r>
          </w:p>
        </w:tc>
      </w:tr>
      <w:tr w:rsidR="005C7F37" w:rsidRPr="00E61A57" w:rsidTr="009D6631">
        <w:tc>
          <w:tcPr>
            <w:tcW w:w="540" w:type="dxa"/>
            <w:tcBorders>
              <w:left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Tableta se define como un material de forma moldeada, comprimida en su forma final.</w:t>
            </w:r>
          </w:p>
        </w:tc>
      </w:tr>
      <w:tr w:rsidR="005C7F37" w:rsidRPr="00E61A57" w:rsidTr="009D6631">
        <w:tc>
          <w:tcPr>
            <w:tcW w:w="540" w:type="dxa"/>
            <w:tcBorders>
              <w:left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:rsidR="005C7F37" w:rsidRPr="004C7650" w:rsidRDefault="005C7F37" w:rsidP="009D663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C7650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Las especificaciones de la formulación pueden ser modificadas en cualquier momento.</w:t>
            </w:r>
          </w:p>
        </w:tc>
      </w:tr>
    </w:tbl>
    <w:p w:rsidR="00A95E4F" w:rsidRDefault="00A95E4F" w:rsidP="002336CF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A95E4F" w:rsidRDefault="00A95E4F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br w:type="page"/>
      </w:r>
    </w:p>
    <w:p w:rsidR="00B368F4" w:rsidRPr="004C7650" w:rsidRDefault="00B368F4" w:rsidP="002336CF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5C7F37" w:rsidRPr="006735C7" w:rsidRDefault="00B368F4" w:rsidP="00673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6735C7">
        <w:rPr>
          <w:rFonts w:ascii="Times New Roman" w:hAnsi="Times New Roman" w:cs="Times New Roman"/>
          <w:b/>
          <w:sz w:val="24"/>
          <w:szCs w:val="24"/>
          <w:lang w:val="es-PR"/>
        </w:rPr>
        <w:t>Recursos o materiales a</w:t>
      </w:r>
      <w:r w:rsidR="005C7F37" w:rsidRPr="006735C7">
        <w:rPr>
          <w:rFonts w:ascii="Times New Roman" w:hAnsi="Times New Roman" w:cs="Times New Roman"/>
          <w:b/>
          <w:sz w:val="24"/>
          <w:szCs w:val="24"/>
          <w:lang w:val="es-PR"/>
        </w:rPr>
        <w:t>dicionales</w:t>
      </w:r>
      <w:r w:rsidRPr="006735C7">
        <w:rPr>
          <w:rFonts w:ascii="Times New Roman" w:hAnsi="Times New Roman" w:cs="Times New Roman"/>
          <w:b/>
          <w:sz w:val="24"/>
          <w:szCs w:val="24"/>
          <w:lang w:val="es-PR"/>
        </w:rPr>
        <w:t xml:space="preserve"> para c</w:t>
      </w:r>
      <w:r w:rsidR="009C090E" w:rsidRPr="006735C7">
        <w:rPr>
          <w:rFonts w:ascii="Times New Roman" w:hAnsi="Times New Roman" w:cs="Times New Roman"/>
          <w:b/>
          <w:sz w:val="24"/>
          <w:szCs w:val="24"/>
          <w:lang w:val="es-PR"/>
        </w:rPr>
        <w:t>ompletar con éxito la evaluación</w:t>
      </w:r>
    </w:p>
    <w:p w:rsidR="000A4A42" w:rsidRPr="00D41611" w:rsidRDefault="00105416" w:rsidP="00D41611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El estudiante podrá utilizar la presentación del curso colocada en la plataforma de</w:t>
      </w:r>
      <w:r w:rsidRPr="004C7650">
        <w:rPr>
          <w:rFonts w:ascii="Times New Roman" w:hAnsi="Times New Roman" w:cs="Times New Roman"/>
          <w:i/>
          <w:sz w:val="24"/>
          <w:szCs w:val="24"/>
          <w:lang w:val="es-PR"/>
        </w:rPr>
        <w:t xml:space="preserve"> Schology</w:t>
      </w:r>
      <w:r w:rsidR="00D41611">
        <w:rPr>
          <w:rFonts w:ascii="Times New Roman" w:hAnsi="Times New Roman" w:cs="Times New Roman"/>
          <w:i/>
          <w:sz w:val="24"/>
          <w:szCs w:val="24"/>
          <w:lang w:val="es-PR"/>
        </w:rPr>
        <w:t xml:space="preserve">. </w:t>
      </w:r>
      <w:r w:rsidR="000A4A42" w:rsidRPr="00D41611">
        <w:rPr>
          <w:rFonts w:ascii="Times New Roman" w:hAnsi="Times New Roman" w:cs="Times New Roman"/>
          <w:sz w:val="24"/>
          <w:szCs w:val="24"/>
          <w:lang w:val="es-PR"/>
        </w:rPr>
        <w:t xml:space="preserve">El código para acceder el curso en la plataforma de Schoology es: </w:t>
      </w:r>
    </w:p>
    <w:p w:rsidR="000A4A42" w:rsidRDefault="000A4A42" w:rsidP="00A95E4F">
      <w:pPr>
        <w:pStyle w:val="Heading3"/>
        <w:numPr>
          <w:ilvl w:val="0"/>
          <w:numId w:val="2"/>
        </w:numPr>
        <w:ind w:firstLine="810"/>
        <w:rPr>
          <w:rFonts w:ascii="Times New Roman" w:hAnsi="Times New Roman" w:cs="Times New Roman"/>
          <w:sz w:val="24"/>
          <w:szCs w:val="24"/>
          <w:lang w:val="es-PR"/>
        </w:rPr>
      </w:pPr>
      <w:r w:rsidRPr="000A4A42">
        <w:rPr>
          <w:rFonts w:ascii="Tahoma" w:eastAsia="Times New Roman" w:hAnsi="Tahoma" w:cs="Tahoma"/>
          <w:color w:val="333333"/>
          <w:sz w:val="21"/>
          <w:szCs w:val="21"/>
          <w:lang w:val="es-ES"/>
        </w:rPr>
        <w:t>Código de Acceso</w:t>
      </w:r>
      <w:r w:rsidR="00D41611">
        <w:rPr>
          <w:rFonts w:ascii="Tahoma" w:eastAsia="Times New Roman" w:hAnsi="Tahoma" w:cs="Tahoma"/>
          <w:color w:val="333333"/>
          <w:sz w:val="21"/>
          <w:szCs w:val="21"/>
          <w:lang w:val="es-ES"/>
        </w:rPr>
        <w:t xml:space="preserve">   </w:t>
      </w:r>
      <w:r w:rsidRPr="00D41611">
        <w:rPr>
          <w:rFonts w:ascii="Times New Roman" w:hAnsi="Times New Roman" w:cs="Times New Roman"/>
          <w:sz w:val="24"/>
          <w:szCs w:val="24"/>
          <w:lang w:val="es-PR"/>
        </w:rPr>
        <w:t>86HD9-DMMDW</w:t>
      </w:r>
    </w:p>
    <w:p w:rsidR="00D41611" w:rsidRPr="00D41611" w:rsidRDefault="00D41611" w:rsidP="00D41611">
      <w:pPr>
        <w:rPr>
          <w:lang w:val="es-PR"/>
        </w:rPr>
      </w:pPr>
    </w:p>
    <w:p w:rsidR="00105416" w:rsidRPr="006735C7" w:rsidRDefault="003B6333" w:rsidP="00673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6735C7">
        <w:rPr>
          <w:rFonts w:ascii="Times New Roman" w:hAnsi="Times New Roman" w:cs="Times New Roman"/>
          <w:b/>
          <w:sz w:val="24"/>
          <w:szCs w:val="24"/>
          <w:lang w:val="es-PR"/>
        </w:rPr>
        <w:t>Reflexión</w:t>
      </w:r>
    </w:p>
    <w:p w:rsidR="003B6333" w:rsidRPr="004C7650" w:rsidRDefault="000427F0" w:rsidP="00456D3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Actualmente existen muchas instituciones que están desarrollando a sus integrantes mediante la educación en línea. Puede indicarse que este tipo de educación f</w:t>
      </w:r>
      <w:r w:rsidR="00D060D6" w:rsidRPr="004C7650">
        <w:rPr>
          <w:rFonts w:ascii="Times New Roman" w:hAnsi="Times New Roman" w:cs="Times New Roman"/>
          <w:sz w:val="24"/>
          <w:szCs w:val="24"/>
          <w:lang w:val="es-PR"/>
        </w:rPr>
        <w:t>acilita el proceso de enseñanza-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>aprendizaje. Su facilitación se basa en que puede desarrollar el conocimiento de individuos en diferente esp</w:t>
      </w:r>
      <w:r w:rsidR="008C1246">
        <w:rPr>
          <w:rFonts w:ascii="Times New Roman" w:hAnsi="Times New Roman" w:cs="Times New Roman"/>
          <w:sz w:val="24"/>
          <w:szCs w:val="24"/>
          <w:lang w:val="es-PR"/>
        </w:rPr>
        <w:t xml:space="preserve">acio y tiempo si su cuenta con un diseño correcto. </w:t>
      </w:r>
    </w:p>
    <w:p w:rsidR="00A55763" w:rsidRPr="004C7650" w:rsidRDefault="000427F0" w:rsidP="00456D3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Entiendo que la construcción o diseño de la educación en línea conlleva desde mi punto de vista </w:t>
      </w:r>
      <w:r w:rsidR="006C2F53" w:rsidRPr="004C7650">
        <w:rPr>
          <w:rFonts w:ascii="Times New Roman" w:hAnsi="Times New Roman" w:cs="Times New Roman"/>
          <w:sz w:val="24"/>
          <w:szCs w:val="24"/>
          <w:lang w:val="es-PR"/>
        </w:rPr>
        <w:t>más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preparación por parte del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instructor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. Esta requiere de un buen diseño instruccional asociado a los avances tecnológicos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que apoyen la instrucción</w:t>
      </w:r>
      <w:r w:rsidR="008C1246">
        <w:rPr>
          <w:rFonts w:ascii="Times New Roman" w:hAnsi="Times New Roman" w:cs="Times New Roman"/>
          <w:sz w:val="24"/>
          <w:szCs w:val="24"/>
          <w:lang w:val="es-PR"/>
        </w:rPr>
        <w:t xml:space="preserve"> en línea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0427F0" w:rsidRPr="004C7650" w:rsidRDefault="000427F0" w:rsidP="00456D3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tecnología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ha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mejorado la evaluación formativa y sumativa para los cursos en línea pues le ofrece al instructor los mecanismos para saber si su proceso de enseñanza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cumpliendo con sus objetivos. Este tipo de evaluación recoge información sobre el proceso enseñanza</w:t>
      </w:r>
      <w:r w:rsidR="00387A4E">
        <w:rPr>
          <w:rFonts w:ascii="Times New Roman" w:hAnsi="Times New Roman" w:cs="Times New Roman"/>
          <w:sz w:val="24"/>
          <w:szCs w:val="24"/>
          <w:lang w:val="es-PR"/>
        </w:rPr>
        <w:t>-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aprendizaje y puede llegar rápidamente al instructor. Con esta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él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instructor 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puede realizar modificaciones inmediatas a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su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instrucción en beneficio de sus alumnos (empleados). Esta a su vez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puede ser corregida, tabulada y 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analizada efectivamente.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Además le ofrece al instructor la oportunidad 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de desarrollar actividades con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mayor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55763" w:rsidRPr="004C7650">
        <w:rPr>
          <w:rFonts w:ascii="Times New Roman" w:hAnsi="Times New Roman" w:cs="Times New Roman"/>
          <w:sz w:val="24"/>
          <w:szCs w:val="24"/>
          <w:lang w:val="es-PR"/>
        </w:rPr>
        <w:t>interacción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para el alumno (empleado). </w:t>
      </w:r>
      <w:r w:rsidR="006A6784" w:rsidRPr="004C7650">
        <w:rPr>
          <w:rFonts w:ascii="Times New Roman" w:hAnsi="Times New Roman" w:cs="Times New Roman"/>
          <w:sz w:val="24"/>
          <w:szCs w:val="24"/>
          <w:lang w:val="es-PR"/>
        </w:rPr>
        <w:t>Hace a su vez los cursos más dinámicos y atractivos.</w:t>
      </w:r>
    </w:p>
    <w:p w:rsidR="006A6784" w:rsidRPr="004C7650" w:rsidRDefault="006A6784" w:rsidP="00456D3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lastRenderedPageBreak/>
        <w:t>Entiend</w:t>
      </w:r>
      <w:r w:rsidR="00387A4E">
        <w:rPr>
          <w:rFonts w:ascii="Times New Roman" w:hAnsi="Times New Roman" w:cs="Times New Roman"/>
          <w:sz w:val="24"/>
          <w:szCs w:val="24"/>
          <w:lang w:val="es-PR"/>
        </w:rPr>
        <w:t>o que todo proceso de enseñanza-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>aprendizaje en línea debe contar con su evaluación formativa y sumativa.</w:t>
      </w:r>
    </w:p>
    <w:p w:rsidR="003B6333" w:rsidRPr="004C7650" w:rsidRDefault="003B6333" w:rsidP="002336CF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A55763" w:rsidRPr="004C7650" w:rsidRDefault="00A55763" w:rsidP="002336CF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456D32" w:rsidRPr="004C7650" w:rsidRDefault="00456D32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b/>
          <w:sz w:val="24"/>
          <w:szCs w:val="24"/>
          <w:lang w:val="es-PR"/>
        </w:rPr>
        <w:br w:type="page"/>
      </w:r>
    </w:p>
    <w:p w:rsidR="003B6333" w:rsidRPr="004C7650" w:rsidRDefault="003B6333" w:rsidP="002336CF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b/>
          <w:sz w:val="24"/>
          <w:szCs w:val="24"/>
          <w:lang w:val="es-PR"/>
        </w:rPr>
        <w:lastRenderedPageBreak/>
        <w:t>Referencias: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Guillemard, L. (S.F.). Desarrollo e Implementación de Técnicas de Avalúo en el Salón de Clases. Recuperado de http://www.uprm.edu/ideal/avaluo-guillemard.pdf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López, J. (2014). La taxonomía de Bloom y sus actualizaciones. Recuperado de http://www.eduteka.org/TaxonomiaBloomCuadro.php3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AulaFacil.com. (2015). La formulación de objetivos educativos. Recuperado de http://www.aulafacil.com/Didactica/clase3-3.htm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Orengo, J. (S.F.). Avalúo, medición y evaluación. Recuperado de https://repasopcmasumet.files.wordpress.com/2008/12/evaluacion-medicion-y-assessment.pdf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Zayas, M. (S.F.). Construcción de Objetivos Operacionales. Recuperado de http://www.mipucpr.org/avaluo/wp-content/uploads/2013/04/tallerobjetivosoperacionales-octubre2006.pdf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Pinillos, J. &amp;  Lopera, C. (2009). Elaboración de una formulación farmacéutica a través de un diseño experimental de mezclas. Recuperado de http://www.scielo.org.co/pdf/vitae/v16n3/v16n3a08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Aubry, J. &amp;  Schorsch, G. (1999). Formulación Presentación General. Recuperado http://www.firp.ula.ve/archivos/cuadernos/S011A_Formulacion.pdf</w:t>
      </w:r>
    </w:p>
    <w:p w:rsidR="003B6333" w:rsidRPr="004C7650" w:rsidRDefault="003B6333" w:rsidP="003B6333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Definición. De (S.F.). Principio Activo. Recuperado de http://definicion.de/principio-activo/</w:t>
      </w:r>
    </w:p>
    <w:p w:rsidR="003B6333" w:rsidRPr="004C7650" w:rsidRDefault="003B6333" w:rsidP="004C7650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Pintaluba, A. (2012).Materias Primas, Ingredientes Activos y Excipientes. Recuperado de http://www.pintaluba.com/index.php?idioma=5&amp;arxiu=fitxa_document&amp;id_familia=2760&amp;id_subfamilia=8965&amp;id=16665</w:t>
      </w:r>
    </w:p>
    <w:p w:rsidR="004C7650" w:rsidRPr="004C7650" w:rsidRDefault="004C7650" w:rsidP="004C7650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Méndez, J. (2009). Educación a Distancia. Recuperado</w:t>
      </w:r>
      <w:r w:rsidR="00346C91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4C7650">
        <w:rPr>
          <w:rFonts w:ascii="Times New Roman" w:hAnsi="Times New Roman" w:cs="Times New Roman"/>
          <w:sz w:val="24"/>
          <w:szCs w:val="24"/>
          <w:lang w:val="es-PR"/>
        </w:rPr>
        <w:t>de http://www.slideshare.net/jorgemm/cinco-teoras-de-educacin-a-distancia</w:t>
      </w:r>
    </w:p>
    <w:p w:rsidR="003B6333" w:rsidRPr="004C7650" w:rsidRDefault="004C7650" w:rsidP="004C7650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Sánchez, J. (2009). Marco teórica de la educación a distancia. Recuperado de http://www.slideshare.net/fullscreen/snchezjosmanuel/marco-teorico-de-la-educacion-a-distancia/1</w:t>
      </w:r>
    </w:p>
    <w:sectPr w:rsidR="003B6333" w:rsidRPr="004C7650" w:rsidSect="00FA3116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16" w:rsidRDefault="00FA3116" w:rsidP="00FA3116">
      <w:pPr>
        <w:spacing w:after="0" w:line="240" w:lineRule="auto"/>
      </w:pPr>
      <w:r>
        <w:separator/>
      </w:r>
    </w:p>
  </w:endnote>
  <w:endnote w:type="continuationSeparator" w:id="0">
    <w:p w:rsidR="00FA3116" w:rsidRDefault="00FA3116" w:rsidP="00FA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16" w:rsidRDefault="00FA3116" w:rsidP="00FA3116">
      <w:pPr>
        <w:spacing w:after="0" w:line="240" w:lineRule="auto"/>
      </w:pPr>
      <w:r>
        <w:separator/>
      </w:r>
    </w:p>
  </w:footnote>
  <w:footnote w:type="continuationSeparator" w:id="0">
    <w:p w:rsidR="00FA3116" w:rsidRDefault="00FA3116" w:rsidP="00FA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FA3116" w:rsidRDefault="00FA3116" w:rsidP="00FA3116">
        <w:pPr>
          <w:pStyle w:val="Header"/>
          <w:ind w:left="7920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4067B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4067B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A3116" w:rsidRDefault="00FA3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354A"/>
    <w:multiLevelType w:val="hybridMultilevel"/>
    <w:tmpl w:val="691E17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527"/>
    <w:multiLevelType w:val="hybridMultilevel"/>
    <w:tmpl w:val="363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6"/>
    <w:rsid w:val="000427F0"/>
    <w:rsid w:val="00075354"/>
    <w:rsid w:val="00091146"/>
    <w:rsid w:val="000A4A42"/>
    <w:rsid w:val="000B2A67"/>
    <w:rsid w:val="000D4A89"/>
    <w:rsid w:val="00105416"/>
    <w:rsid w:val="001918C9"/>
    <w:rsid w:val="001E3BBA"/>
    <w:rsid w:val="002336CF"/>
    <w:rsid w:val="00236E9E"/>
    <w:rsid w:val="0026017A"/>
    <w:rsid w:val="00270215"/>
    <w:rsid w:val="00293A91"/>
    <w:rsid w:val="002B1C88"/>
    <w:rsid w:val="002F50E8"/>
    <w:rsid w:val="00324F44"/>
    <w:rsid w:val="00346C91"/>
    <w:rsid w:val="00387A4E"/>
    <w:rsid w:val="00391136"/>
    <w:rsid w:val="003A2F71"/>
    <w:rsid w:val="003B6333"/>
    <w:rsid w:val="003F4774"/>
    <w:rsid w:val="00456D32"/>
    <w:rsid w:val="00457C87"/>
    <w:rsid w:val="004600C8"/>
    <w:rsid w:val="004C7650"/>
    <w:rsid w:val="0051659D"/>
    <w:rsid w:val="00553226"/>
    <w:rsid w:val="00553A67"/>
    <w:rsid w:val="005A5A53"/>
    <w:rsid w:val="005B1E78"/>
    <w:rsid w:val="005C7F37"/>
    <w:rsid w:val="005D2CFD"/>
    <w:rsid w:val="005F4278"/>
    <w:rsid w:val="006053FD"/>
    <w:rsid w:val="00631831"/>
    <w:rsid w:val="006735C7"/>
    <w:rsid w:val="00692A7E"/>
    <w:rsid w:val="006A6391"/>
    <w:rsid w:val="006A6784"/>
    <w:rsid w:val="006C2F53"/>
    <w:rsid w:val="006E2EDD"/>
    <w:rsid w:val="00811DD1"/>
    <w:rsid w:val="008A3543"/>
    <w:rsid w:val="008C1246"/>
    <w:rsid w:val="009377F5"/>
    <w:rsid w:val="00953409"/>
    <w:rsid w:val="00964A5D"/>
    <w:rsid w:val="009863EF"/>
    <w:rsid w:val="009A1239"/>
    <w:rsid w:val="009C090E"/>
    <w:rsid w:val="00A55763"/>
    <w:rsid w:val="00A8317E"/>
    <w:rsid w:val="00A86A8B"/>
    <w:rsid w:val="00A92628"/>
    <w:rsid w:val="00A95E4F"/>
    <w:rsid w:val="00AC5239"/>
    <w:rsid w:val="00AD682C"/>
    <w:rsid w:val="00B27083"/>
    <w:rsid w:val="00B3329F"/>
    <w:rsid w:val="00B368F4"/>
    <w:rsid w:val="00B4067B"/>
    <w:rsid w:val="00B42293"/>
    <w:rsid w:val="00B71791"/>
    <w:rsid w:val="00B85F7F"/>
    <w:rsid w:val="00BA5EB5"/>
    <w:rsid w:val="00BF4F25"/>
    <w:rsid w:val="00C018B1"/>
    <w:rsid w:val="00CA3767"/>
    <w:rsid w:val="00CC1D27"/>
    <w:rsid w:val="00CD3FFC"/>
    <w:rsid w:val="00D060D6"/>
    <w:rsid w:val="00D41611"/>
    <w:rsid w:val="00D66A3B"/>
    <w:rsid w:val="00D902B7"/>
    <w:rsid w:val="00D95AA8"/>
    <w:rsid w:val="00DA0C94"/>
    <w:rsid w:val="00E223F3"/>
    <w:rsid w:val="00E61A57"/>
    <w:rsid w:val="00E668D9"/>
    <w:rsid w:val="00EA4599"/>
    <w:rsid w:val="00F07F4C"/>
    <w:rsid w:val="00F16286"/>
    <w:rsid w:val="00F447D1"/>
    <w:rsid w:val="00F44BAD"/>
    <w:rsid w:val="00FA1C3E"/>
    <w:rsid w:val="00FA3116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3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4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16"/>
  </w:style>
  <w:style w:type="paragraph" w:styleId="Footer">
    <w:name w:val="footer"/>
    <w:basedOn w:val="Normal"/>
    <w:link w:val="FooterChar"/>
    <w:uiPriority w:val="99"/>
    <w:unhideWhenUsed/>
    <w:rsid w:val="00FA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16"/>
  </w:style>
  <w:style w:type="paragraph" w:styleId="BalloonText">
    <w:name w:val="Balloon Text"/>
    <w:basedOn w:val="Normal"/>
    <w:link w:val="BalloonTextChar"/>
    <w:uiPriority w:val="99"/>
    <w:semiHidden/>
    <w:unhideWhenUsed/>
    <w:rsid w:val="00FA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4A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3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4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16"/>
  </w:style>
  <w:style w:type="paragraph" w:styleId="Footer">
    <w:name w:val="footer"/>
    <w:basedOn w:val="Normal"/>
    <w:link w:val="FooterChar"/>
    <w:uiPriority w:val="99"/>
    <w:unhideWhenUsed/>
    <w:rsid w:val="00FA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16"/>
  </w:style>
  <w:style w:type="paragraph" w:styleId="BalloonText">
    <w:name w:val="Balloon Text"/>
    <w:basedOn w:val="Normal"/>
    <w:link w:val="BalloonTextChar"/>
    <w:uiPriority w:val="99"/>
    <w:semiHidden/>
    <w:unhideWhenUsed/>
    <w:rsid w:val="00FA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4A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8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474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27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89274">
                                  <w:marLeft w:val="75"/>
                                  <w:marRight w:val="3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8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50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500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7701">
                                  <w:marLeft w:val="75"/>
                                  <w:marRight w:val="3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7C4C0C-53C1-4A57-8A30-06EC3207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1064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Irvin</cp:lastModifiedBy>
  <cp:revision>2</cp:revision>
  <cp:lastPrinted>2015-02-05T21:06:00Z</cp:lastPrinted>
  <dcterms:created xsi:type="dcterms:W3CDTF">2015-02-17T03:27:00Z</dcterms:created>
  <dcterms:modified xsi:type="dcterms:W3CDTF">2015-02-17T03:27:00Z</dcterms:modified>
</cp:coreProperties>
</file>